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center"/>
        <w:textAlignment w:val="auto"/>
        <w:rPr>
          <w:rFonts w:hint="eastAsia"/>
          <w:sz w:val="52"/>
          <w:szCs w:val="60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四平市交通运输局行政执法主体名录库</w:t>
      </w:r>
    </w:p>
    <w:tbl>
      <w:tblPr>
        <w:tblStyle w:val="3"/>
        <w:tblW w:w="14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61"/>
        <w:gridCol w:w="840"/>
        <w:gridCol w:w="958"/>
        <w:gridCol w:w="786"/>
        <w:gridCol w:w="830"/>
        <w:gridCol w:w="808"/>
        <w:gridCol w:w="959"/>
        <w:gridCol w:w="6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76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编制性质</w:t>
            </w:r>
          </w:p>
        </w:tc>
        <w:tc>
          <w:tcPr>
            <w:tcW w:w="674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法定行政机关</w:t>
            </w: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法律法规授权组织</w:t>
            </w:r>
          </w:p>
        </w:tc>
        <w:tc>
          <w:tcPr>
            <w:tcW w:w="786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受委托组织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行政机关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参公事业单位</w:t>
            </w: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其他事业单位</w:t>
            </w:r>
          </w:p>
        </w:tc>
        <w:tc>
          <w:tcPr>
            <w:tcW w:w="674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四平市交通运输局</w:t>
            </w:r>
          </w:p>
        </w:tc>
        <w:tc>
          <w:tcPr>
            <w:tcW w:w="761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43" w:type="dxa"/>
            <w:vAlign w:val="center"/>
          </w:tcPr>
          <w:p>
            <w:pPr>
              <w:snapToGrid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《中华人民共和国公路法》《中华人民共和国大气污染防治法》《中华人民共和国道路运输条例》《危险化学品安全管理条例》《中华人民共和国内河交通安全管理条例》《建设工程质量管理条例》《建设工程安全生产管理条例》《吉林省公路管理条例》《吉林省水路交通条例》等法律法规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653C6"/>
    <w:rsid w:val="E1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2026-04-29T09:05:00Z</dcterms:created>
  <dc:creator>Administrator</dc:creator>
  <cp:lastModifiedBy>admin</cp:lastModifiedBy>
  <dcterms:modified xsi:type="dcterms:W3CDTF">2026-04-30T08:55:14Z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eyJoZGlkIjoiZmZhODZmMDBiMDJmZWMxM2JlZDkwYjE2YTQ4Y2E4ZTciLCJ1c2VySWQiOiIzOTAwNDUzNTUifQ==</vt:lpwstr>
  </property>
  <property fmtid="{D5CDD505-2E9C-101B-9397-08002B2CF9AE}" pid="4" name="ICV">
    <vt:lpwstr>6FA6BBD5D5144F0C81152825FB5D943F_12</vt:lpwstr>
  </property>
</Properties>
</file>